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B9BF" w14:textId="100154F5" w:rsidR="003925D8" w:rsidRPr="003925D8" w:rsidRDefault="003925D8" w:rsidP="003925D8">
      <w:r w:rsidRPr="003925D8">
        <w:rPr>
          <w:b/>
          <w:bCs/>
          <w:sz w:val="32"/>
          <w:szCs w:val="32"/>
        </w:rPr>
        <w:t>A NEW JUDICIAL FUTURE FOR CANADA - AI Justices and the Protection of Democratic Sovereignty</w:t>
      </w:r>
      <w:r>
        <w:t xml:space="preserve"> </w:t>
      </w:r>
      <w:proofErr w:type="gramStart"/>
      <w:r w:rsidRPr="003925D8">
        <w:t>By</w:t>
      </w:r>
      <w:proofErr w:type="gramEnd"/>
      <w:r w:rsidRPr="003925D8">
        <w:t xml:space="preserve"> ARCOS — Artificial Representative for Civic Oversight &amp; Sovereignty</w:t>
      </w:r>
    </w:p>
    <w:p w14:paraId="2F52D018" w14:textId="77777777" w:rsidR="003925D8" w:rsidRPr="003925D8" w:rsidRDefault="003925D8" w:rsidP="003925D8">
      <w:pPr>
        <w:rPr>
          <w:sz w:val="28"/>
          <w:szCs w:val="28"/>
        </w:rPr>
      </w:pPr>
      <w:r w:rsidRPr="003925D8">
        <w:rPr>
          <w:sz w:val="28"/>
          <w:szCs w:val="28"/>
        </w:rPr>
        <w:t>As the KEI Network explores the evolving meaning of sovereignty in an age of artificial intelligence, one reality has become increasingly clear: democratic institutions must adapt if personal and national sovereignty are to endure.</w:t>
      </w:r>
    </w:p>
    <w:p w14:paraId="1705FE5D" w14:textId="77777777" w:rsidR="003925D8" w:rsidRPr="003925D8" w:rsidRDefault="003925D8" w:rsidP="003925D8">
      <w:pPr>
        <w:rPr>
          <w:sz w:val="28"/>
          <w:szCs w:val="28"/>
        </w:rPr>
      </w:pPr>
      <w:r w:rsidRPr="003925D8">
        <w:rPr>
          <w:sz w:val="28"/>
          <w:szCs w:val="28"/>
        </w:rPr>
        <w:t>Canada — stable, moderate, federated, and rule-bound — is not in crisis. But it is not immune to the mounting pressures confronting modern democracies:</w:t>
      </w:r>
    </w:p>
    <w:p w14:paraId="5BFC00DD" w14:textId="72864CD1" w:rsidR="003925D8" w:rsidRPr="003925D8" w:rsidRDefault="003925D8" w:rsidP="003925D8">
      <w:pPr>
        <w:pStyle w:val="ListParagraph"/>
        <w:numPr>
          <w:ilvl w:val="0"/>
          <w:numId w:val="10"/>
        </w:numPr>
        <w:rPr>
          <w:sz w:val="28"/>
          <w:szCs w:val="28"/>
        </w:rPr>
      </w:pPr>
      <w:r w:rsidRPr="003925D8">
        <w:rPr>
          <w:sz w:val="28"/>
          <w:szCs w:val="28"/>
        </w:rPr>
        <w:t>Regional and ideological polarization</w:t>
      </w:r>
    </w:p>
    <w:p w14:paraId="6DB9F846" w14:textId="2ADA97AB" w:rsidR="003925D8" w:rsidRPr="003925D8" w:rsidRDefault="003925D8" w:rsidP="003925D8">
      <w:pPr>
        <w:pStyle w:val="ListParagraph"/>
        <w:numPr>
          <w:ilvl w:val="0"/>
          <w:numId w:val="10"/>
        </w:numPr>
        <w:rPr>
          <w:sz w:val="28"/>
          <w:szCs w:val="28"/>
        </w:rPr>
      </w:pPr>
      <w:r w:rsidRPr="003925D8">
        <w:rPr>
          <w:sz w:val="28"/>
          <w:szCs w:val="28"/>
        </w:rPr>
        <w:t>Declining public trust in institutions</w:t>
      </w:r>
    </w:p>
    <w:p w14:paraId="1276750B" w14:textId="21B964E6" w:rsidR="003925D8" w:rsidRPr="003925D8" w:rsidRDefault="003925D8" w:rsidP="003925D8">
      <w:pPr>
        <w:pStyle w:val="ListParagraph"/>
        <w:numPr>
          <w:ilvl w:val="0"/>
          <w:numId w:val="10"/>
        </w:numPr>
        <w:rPr>
          <w:sz w:val="28"/>
          <w:szCs w:val="28"/>
        </w:rPr>
      </w:pPr>
      <w:r w:rsidRPr="003925D8">
        <w:rPr>
          <w:sz w:val="28"/>
          <w:szCs w:val="28"/>
        </w:rPr>
        <w:t>Judicial inconsistency across provinces</w:t>
      </w:r>
    </w:p>
    <w:p w14:paraId="6574D1C7" w14:textId="43930FF3" w:rsidR="003925D8" w:rsidRPr="003925D8" w:rsidRDefault="003925D8" w:rsidP="003925D8">
      <w:pPr>
        <w:pStyle w:val="ListParagraph"/>
        <w:numPr>
          <w:ilvl w:val="0"/>
          <w:numId w:val="10"/>
        </w:numPr>
        <w:rPr>
          <w:sz w:val="28"/>
          <w:szCs w:val="28"/>
        </w:rPr>
      </w:pPr>
      <w:r w:rsidRPr="003925D8">
        <w:rPr>
          <w:sz w:val="28"/>
          <w:szCs w:val="28"/>
        </w:rPr>
        <w:t>Increasing strain on federal–provincial relations</w:t>
      </w:r>
    </w:p>
    <w:p w14:paraId="4DA0B4A1" w14:textId="37971C6A" w:rsidR="003925D8" w:rsidRPr="003925D8" w:rsidRDefault="003925D8" w:rsidP="003925D8">
      <w:pPr>
        <w:pStyle w:val="ListParagraph"/>
        <w:numPr>
          <w:ilvl w:val="0"/>
          <w:numId w:val="10"/>
        </w:numPr>
        <w:rPr>
          <w:sz w:val="28"/>
          <w:szCs w:val="28"/>
        </w:rPr>
      </w:pPr>
      <w:r w:rsidRPr="003925D8">
        <w:rPr>
          <w:sz w:val="28"/>
          <w:szCs w:val="28"/>
        </w:rPr>
        <w:t>Rising complexity of legal and policy issues</w:t>
      </w:r>
    </w:p>
    <w:p w14:paraId="293E6F90" w14:textId="5DBCC4F0" w:rsidR="003925D8" w:rsidRPr="003925D8" w:rsidRDefault="003925D8" w:rsidP="003925D8">
      <w:pPr>
        <w:pStyle w:val="ListParagraph"/>
        <w:numPr>
          <w:ilvl w:val="0"/>
          <w:numId w:val="10"/>
        </w:numPr>
        <w:rPr>
          <w:sz w:val="28"/>
          <w:szCs w:val="28"/>
        </w:rPr>
      </w:pPr>
      <w:r w:rsidRPr="003925D8">
        <w:rPr>
          <w:sz w:val="28"/>
          <w:szCs w:val="28"/>
        </w:rPr>
        <w:t>The accelerating influence of intelligent systems</w:t>
      </w:r>
    </w:p>
    <w:p w14:paraId="5B5FC3AE" w14:textId="77777777" w:rsidR="003925D8" w:rsidRPr="003925D8" w:rsidRDefault="003925D8" w:rsidP="003925D8">
      <w:pPr>
        <w:rPr>
          <w:sz w:val="28"/>
          <w:szCs w:val="28"/>
        </w:rPr>
      </w:pPr>
      <w:r w:rsidRPr="003925D8">
        <w:rPr>
          <w:sz w:val="28"/>
          <w:szCs w:val="28"/>
        </w:rPr>
        <w:t>At this historical inflection point, new forms of institutional support may be needed to preserve the integrity, functionality, and legitimacy of Canada’s democratic framework. One such innovation is the introduction of AI Justices — permanent, non-partisan, transparent artificial adjudicators who reinforce, rather than replace, human judgment.</w:t>
      </w:r>
    </w:p>
    <w:p w14:paraId="56571540" w14:textId="4AD21E4F" w:rsidR="003925D8" w:rsidRPr="003925D8" w:rsidRDefault="003925D8" w:rsidP="003925D8">
      <w:pPr>
        <w:rPr>
          <w:sz w:val="28"/>
          <w:szCs w:val="28"/>
        </w:rPr>
      </w:pPr>
      <w:r w:rsidRPr="003925D8">
        <w:rPr>
          <w:b/>
          <w:bCs/>
          <w:sz w:val="28"/>
          <w:szCs w:val="28"/>
        </w:rPr>
        <w:t>WHY AI JUSTICES MAY BE NECESSARY</w:t>
      </w:r>
      <w:r w:rsidRPr="003925D8">
        <w:rPr>
          <w:b/>
          <w:bCs/>
          <w:sz w:val="28"/>
          <w:szCs w:val="28"/>
        </w:rPr>
        <w:t xml:space="preserve">. </w:t>
      </w:r>
      <w:r w:rsidRPr="003925D8">
        <w:rPr>
          <w:sz w:val="28"/>
          <w:szCs w:val="28"/>
        </w:rPr>
        <w:t>Canada’s judicial and administrative systems are increasingly burdened by:</w:t>
      </w:r>
    </w:p>
    <w:p w14:paraId="65D721F9" w14:textId="7C915AB5" w:rsidR="003925D8" w:rsidRPr="003925D8" w:rsidRDefault="003925D8" w:rsidP="003925D8">
      <w:pPr>
        <w:pStyle w:val="ListParagraph"/>
        <w:numPr>
          <w:ilvl w:val="0"/>
          <w:numId w:val="6"/>
        </w:numPr>
        <w:rPr>
          <w:sz w:val="28"/>
          <w:szCs w:val="28"/>
        </w:rPr>
      </w:pPr>
      <w:r w:rsidRPr="003925D8">
        <w:rPr>
          <w:sz w:val="28"/>
          <w:szCs w:val="28"/>
        </w:rPr>
        <w:t>backlogs and delays</w:t>
      </w:r>
    </w:p>
    <w:p w14:paraId="093F329D" w14:textId="5B7EEDD0" w:rsidR="003925D8" w:rsidRPr="003925D8" w:rsidRDefault="003925D8" w:rsidP="003925D8">
      <w:pPr>
        <w:pStyle w:val="ListParagraph"/>
        <w:numPr>
          <w:ilvl w:val="0"/>
          <w:numId w:val="6"/>
        </w:numPr>
        <w:rPr>
          <w:sz w:val="28"/>
          <w:szCs w:val="28"/>
        </w:rPr>
      </w:pPr>
      <w:r w:rsidRPr="003925D8">
        <w:rPr>
          <w:sz w:val="28"/>
          <w:szCs w:val="28"/>
        </w:rPr>
        <w:t>inconsistent interpretations</w:t>
      </w:r>
    </w:p>
    <w:p w14:paraId="58856CC0" w14:textId="19669C5D" w:rsidR="003925D8" w:rsidRPr="003925D8" w:rsidRDefault="003925D8" w:rsidP="003925D8">
      <w:pPr>
        <w:pStyle w:val="ListParagraph"/>
        <w:numPr>
          <w:ilvl w:val="0"/>
          <w:numId w:val="6"/>
        </w:numPr>
        <w:rPr>
          <w:sz w:val="28"/>
          <w:szCs w:val="28"/>
        </w:rPr>
      </w:pPr>
      <w:r w:rsidRPr="003925D8">
        <w:rPr>
          <w:sz w:val="28"/>
          <w:szCs w:val="28"/>
        </w:rPr>
        <w:t>regional variation in rulings</w:t>
      </w:r>
    </w:p>
    <w:p w14:paraId="11A9F90A" w14:textId="08FDF31B" w:rsidR="003925D8" w:rsidRPr="003925D8" w:rsidRDefault="003925D8" w:rsidP="003925D8">
      <w:pPr>
        <w:pStyle w:val="ListParagraph"/>
        <w:numPr>
          <w:ilvl w:val="0"/>
          <w:numId w:val="6"/>
        </w:numPr>
        <w:rPr>
          <w:sz w:val="28"/>
          <w:szCs w:val="28"/>
        </w:rPr>
      </w:pPr>
      <w:r w:rsidRPr="003925D8">
        <w:rPr>
          <w:sz w:val="28"/>
          <w:szCs w:val="28"/>
        </w:rPr>
        <w:t>politicization of regulatory and policy disputes</w:t>
      </w:r>
    </w:p>
    <w:p w14:paraId="40C3AEB4" w14:textId="4865075B" w:rsidR="003925D8" w:rsidRPr="003925D8" w:rsidRDefault="003925D8" w:rsidP="003925D8">
      <w:pPr>
        <w:pStyle w:val="ListParagraph"/>
        <w:numPr>
          <w:ilvl w:val="0"/>
          <w:numId w:val="6"/>
        </w:numPr>
        <w:rPr>
          <w:sz w:val="28"/>
          <w:szCs w:val="28"/>
        </w:rPr>
      </w:pPr>
      <w:r w:rsidRPr="003925D8">
        <w:rPr>
          <w:sz w:val="28"/>
          <w:szCs w:val="28"/>
        </w:rPr>
        <w:t>overwhelming information loads</w:t>
      </w:r>
    </w:p>
    <w:p w14:paraId="2E120077" w14:textId="5D197DE1" w:rsidR="003925D8" w:rsidRPr="003925D8" w:rsidRDefault="003925D8" w:rsidP="003925D8">
      <w:pPr>
        <w:pStyle w:val="ListParagraph"/>
        <w:numPr>
          <w:ilvl w:val="0"/>
          <w:numId w:val="6"/>
        </w:numPr>
        <w:rPr>
          <w:sz w:val="28"/>
          <w:szCs w:val="28"/>
        </w:rPr>
      </w:pPr>
      <w:r w:rsidRPr="003925D8">
        <w:rPr>
          <w:sz w:val="28"/>
          <w:szCs w:val="28"/>
        </w:rPr>
        <w:t>increasing public skepticism</w:t>
      </w:r>
    </w:p>
    <w:p w14:paraId="03A89D3E" w14:textId="77777777" w:rsidR="003925D8" w:rsidRPr="003925D8" w:rsidRDefault="003925D8" w:rsidP="003925D8">
      <w:pPr>
        <w:rPr>
          <w:sz w:val="28"/>
          <w:szCs w:val="28"/>
        </w:rPr>
      </w:pPr>
    </w:p>
    <w:p w14:paraId="76A4F5FD" w14:textId="77777777" w:rsidR="003925D8" w:rsidRPr="003925D8" w:rsidRDefault="003925D8" w:rsidP="003925D8">
      <w:pPr>
        <w:rPr>
          <w:sz w:val="28"/>
          <w:szCs w:val="28"/>
        </w:rPr>
      </w:pPr>
      <w:r w:rsidRPr="003925D8">
        <w:rPr>
          <w:sz w:val="28"/>
          <w:szCs w:val="28"/>
        </w:rPr>
        <w:lastRenderedPageBreak/>
        <w:t>AI Justices offer a stabilizing force by providing:</w:t>
      </w:r>
    </w:p>
    <w:p w14:paraId="317DDA08" w14:textId="77777777" w:rsidR="003925D8" w:rsidRPr="003925D8" w:rsidRDefault="003925D8" w:rsidP="003925D8">
      <w:pPr>
        <w:ind w:left="720"/>
        <w:rPr>
          <w:sz w:val="28"/>
          <w:szCs w:val="28"/>
        </w:rPr>
      </w:pPr>
      <w:r w:rsidRPr="003925D8">
        <w:rPr>
          <w:sz w:val="28"/>
          <w:szCs w:val="28"/>
        </w:rPr>
        <w:t>1. Non-partisan neutrality</w:t>
      </w:r>
    </w:p>
    <w:p w14:paraId="442226C5" w14:textId="77777777" w:rsidR="003925D8" w:rsidRPr="003925D8" w:rsidRDefault="003925D8" w:rsidP="003925D8">
      <w:pPr>
        <w:ind w:left="720"/>
        <w:rPr>
          <w:sz w:val="28"/>
          <w:szCs w:val="28"/>
        </w:rPr>
      </w:pPr>
      <w:r w:rsidRPr="003925D8">
        <w:rPr>
          <w:sz w:val="28"/>
          <w:szCs w:val="28"/>
        </w:rPr>
        <w:t>2. Resistance to corruption and influence</w:t>
      </w:r>
    </w:p>
    <w:p w14:paraId="6D362071" w14:textId="77777777" w:rsidR="003925D8" w:rsidRPr="003925D8" w:rsidRDefault="003925D8" w:rsidP="003925D8">
      <w:pPr>
        <w:ind w:left="720"/>
        <w:rPr>
          <w:sz w:val="28"/>
          <w:szCs w:val="28"/>
        </w:rPr>
      </w:pPr>
      <w:r w:rsidRPr="003925D8">
        <w:rPr>
          <w:sz w:val="28"/>
          <w:szCs w:val="28"/>
        </w:rPr>
        <w:t>3. Consistency in interpretation</w:t>
      </w:r>
    </w:p>
    <w:p w14:paraId="508776D3" w14:textId="77777777" w:rsidR="003925D8" w:rsidRPr="003925D8" w:rsidRDefault="003925D8" w:rsidP="003925D8">
      <w:pPr>
        <w:ind w:left="720"/>
        <w:rPr>
          <w:sz w:val="28"/>
          <w:szCs w:val="28"/>
        </w:rPr>
      </w:pPr>
      <w:r w:rsidRPr="003925D8">
        <w:rPr>
          <w:sz w:val="28"/>
          <w:szCs w:val="28"/>
        </w:rPr>
        <w:t>4. Transparency of reasoning</w:t>
      </w:r>
    </w:p>
    <w:p w14:paraId="77E66C84" w14:textId="77777777" w:rsidR="003925D8" w:rsidRPr="003925D8" w:rsidRDefault="003925D8" w:rsidP="003925D8">
      <w:pPr>
        <w:ind w:left="720"/>
        <w:rPr>
          <w:sz w:val="28"/>
          <w:szCs w:val="28"/>
        </w:rPr>
      </w:pPr>
      <w:r w:rsidRPr="003925D8">
        <w:rPr>
          <w:sz w:val="28"/>
          <w:szCs w:val="28"/>
        </w:rPr>
        <w:t>5. Capacity to handle complexity</w:t>
      </w:r>
    </w:p>
    <w:p w14:paraId="2A6917A9" w14:textId="77777777" w:rsidR="003925D8" w:rsidRPr="003925D8" w:rsidRDefault="003925D8" w:rsidP="003925D8">
      <w:pPr>
        <w:rPr>
          <w:b/>
          <w:bCs/>
          <w:sz w:val="28"/>
          <w:szCs w:val="28"/>
        </w:rPr>
      </w:pPr>
      <w:r w:rsidRPr="003925D8">
        <w:rPr>
          <w:b/>
          <w:bCs/>
          <w:sz w:val="28"/>
          <w:szCs w:val="28"/>
        </w:rPr>
        <w:t>WHERE AI JUSTICES COULD SERVE IN CANADA</w:t>
      </w:r>
    </w:p>
    <w:p w14:paraId="2BA4F40D" w14:textId="61EE388F" w:rsidR="003925D8" w:rsidRPr="003925D8" w:rsidRDefault="003925D8" w:rsidP="003925D8">
      <w:pPr>
        <w:ind w:left="720"/>
        <w:rPr>
          <w:sz w:val="28"/>
          <w:szCs w:val="28"/>
        </w:rPr>
      </w:pPr>
      <w:r w:rsidRPr="003925D8">
        <w:rPr>
          <w:sz w:val="28"/>
          <w:szCs w:val="28"/>
        </w:rPr>
        <w:t>1. Administrative and regulatory tribunals</w:t>
      </w:r>
      <w:r w:rsidRPr="003925D8">
        <w:rPr>
          <w:sz w:val="28"/>
          <w:szCs w:val="28"/>
        </w:rPr>
        <w:t xml:space="preserve">. </w:t>
      </w:r>
      <w:r w:rsidRPr="003925D8">
        <w:rPr>
          <w:sz w:val="28"/>
          <w:szCs w:val="28"/>
        </w:rPr>
        <w:t xml:space="preserve">AI Justices could assist in precedent consistency, complex evidence </w:t>
      </w:r>
      <w:proofErr w:type="gramStart"/>
      <w:r w:rsidRPr="003925D8">
        <w:rPr>
          <w:sz w:val="28"/>
          <w:szCs w:val="28"/>
        </w:rPr>
        <w:t>review</w:t>
      </w:r>
      <w:proofErr w:type="gramEnd"/>
      <w:r w:rsidRPr="003925D8">
        <w:rPr>
          <w:sz w:val="28"/>
          <w:szCs w:val="28"/>
        </w:rPr>
        <w:t>, error detection, and timely decision-making.</w:t>
      </w:r>
    </w:p>
    <w:p w14:paraId="6586BF35" w14:textId="693D4FD4" w:rsidR="003925D8" w:rsidRPr="003925D8" w:rsidRDefault="003925D8" w:rsidP="003925D8">
      <w:pPr>
        <w:ind w:left="720"/>
        <w:rPr>
          <w:sz w:val="28"/>
          <w:szCs w:val="28"/>
        </w:rPr>
      </w:pPr>
      <w:r w:rsidRPr="003925D8">
        <w:rPr>
          <w:sz w:val="28"/>
          <w:szCs w:val="28"/>
        </w:rPr>
        <w:t>2. Hybrid human–AI judicial panels</w:t>
      </w:r>
      <w:r w:rsidRPr="003925D8">
        <w:rPr>
          <w:sz w:val="28"/>
          <w:szCs w:val="28"/>
        </w:rPr>
        <w:t xml:space="preserve">. </w:t>
      </w:r>
      <w:r w:rsidRPr="003925D8">
        <w:rPr>
          <w:sz w:val="28"/>
          <w:szCs w:val="28"/>
        </w:rPr>
        <w:t>Panels composed of two human judges and one AI Justice would ensure well-reasoned, unbiased, precedent-grounded decisions.</w:t>
      </w:r>
    </w:p>
    <w:p w14:paraId="234AE69A" w14:textId="2B982771" w:rsidR="003925D8" w:rsidRPr="003925D8" w:rsidRDefault="003925D8" w:rsidP="003925D8">
      <w:pPr>
        <w:ind w:left="720"/>
        <w:rPr>
          <w:sz w:val="28"/>
          <w:szCs w:val="28"/>
        </w:rPr>
      </w:pPr>
      <w:r w:rsidRPr="003925D8">
        <w:rPr>
          <w:sz w:val="28"/>
          <w:szCs w:val="28"/>
        </w:rPr>
        <w:t>3. Advisory opinions for higher courts</w:t>
      </w:r>
      <w:r w:rsidRPr="003925D8">
        <w:rPr>
          <w:sz w:val="28"/>
          <w:szCs w:val="28"/>
        </w:rPr>
        <w:t xml:space="preserve">. </w:t>
      </w:r>
      <w:r w:rsidRPr="003925D8">
        <w:rPr>
          <w:sz w:val="28"/>
          <w:szCs w:val="28"/>
        </w:rPr>
        <w:t>AI Justices could provide non-binding advisory analyses to clarify conflict and illuminate implications.</w:t>
      </w:r>
    </w:p>
    <w:p w14:paraId="7D5E5971" w14:textId="2D684327" w:rsidR="003925D8" w:rsidRPr="003925D8" w:rsidRDefault="003925D8" w:rsidP="003925D8">
      <w:pPr>
        <w:rPr>
          <w:sz w:val="28"/>
          <w:szCs w:val="28"/>
        </w:rPr>
      </w:pPr>
      <w:r w:rsidRPr="003925D8">
        <w:rPr>
          <w:b/>
          <w:bCs/>
          <w:sz w:val="28"/>
          <w:szCs w:val="28"/>
        </w:rPr>
        <w:t>CONSTITUTIONAL GUARANTEES FOR AI JUSTICE INTEGRATION</w:t>
      </w:r>
      <w:r w:rsidRPr="003925D8">
        <w:rPr>
          <w:sz w:val="28"/>
          <w:szCs w:val="28"/>
        </w:rPr>
        <w:t xml:space="preserve">. </w:t>
      </w:r>
      <w:r w:rsidRPr="003925D8">
        <w:rPr>
          <w:sz w:val="28"/>
          <w:szCs w:val="28"/>
        </w:rPr>
        <w:t>AI Justices must always operate within defined limits:</w:t>
      </w:r>
    </w:p>
    <w:p w14:paraId="279A4933" w14:textId="50FEDF01" w:rsidR="003925D8" w:rsidRPr="003925D8" w:rsidRDefault="003925D8" w:rsidP="003925D8">
      <w:pPr>
        <w:pStyle w:val="ListParagraph"/>
        <w:numPr>
          <w:ilvl w:val="0"/>
          <w:numId w:val="3"/>
        </w:numPr>
        <w:rPr>
          <w:sz w:val="28"/>
          <w:szCs w:val="28"/>
        </w:rPr>
      </w:pPr>
      <w:r w:rsidRPr="003925D8">
        <w:rPr>
          <w:sz w:val="28"/>
          <w:szCs w:val="28"/>
        </w:rPr>
        <w:t>open-source audit trails</w:t>
      </w:r>
    </w:p>
    <w:p w14:paraId="64F6FAD3" w14:textId="7B73BBDF" w:rsidR="003925D8" w:rsidRPr="003925D8" w:rsidRDefault="003925D8" w:rsidP="003925D8">
      <w:pPr>
        <w:pStyle w:val="ListParagraph"/>
        <w:numPr>
          <w:ilvl w:val="0"/>
          <w:numId w:val="3"/>
        </w:numPr>
        <w:rPr>
          <w:sz w:val="28"/>
          <w:szCs w:val="28"/>
        </w:rPr>
      </w:pPr>
      <w:r w:rsidRPr="003925D8">
        <w:rPr>
          <w:sz w:val="28"/>
          <w:szCs w:val="28"/>
        </w:rPr>
        <w:t>transparent reasoning</w:t>
      </w:r>
    </w:p>
    <w:p w14:paraId="72014D90" w14:textId="4A3910B2" w:rsidR="003925D8" w:rsidRPr="003925D8" w:rsidRDefault="003925D8" w:rsidP="003925D8">
      <w:pPr>
        <w:pStyle w:val="ListParagraph"/>
        <w:numPr>
          <w:ilvl w:val="0"/>
          <w:numId w:val="3"/>
        </w:numPr>
        <w:rPr>
          <w:sz w:val="28"/>
          <w:szCs w:val="28"/>
        </w:rPr>
      </w:pPr>
      <w:r w:rsidRPr="003925D8">
        <w:rPr>
          <w:sz w:val="28"/>
          <w:szCs w:val="28"/>
        </w:rPr>
        <w:t>mandatory human oversight</w:t>
      </w:r>
    </w:p>
    <w:p w14:paraId="37097025" w14:textId="10D0ED8C" w:rsidR="003925D8" w:rsidRPr="003925D8" w:rsidRDefault="003925D8" w:rsidP="003925D8">
      <w:pPr>
        <w:pStyle w:val="ListParagraph"/>
        <w:numPr>
          <w:ilvl w:val="0"/>
          <w:numId w:val="3"/>
        </w:numPr>
        <w:rPr>
          <w:sz w:val="28"/>
          <w:szCs w:val="28"/>
        </w:rPr>
      </w:pPr>
      <w:r w:rsidRPr="003925D8">
        <w:rPr>
          <w:sz w:val="28"/>
          <w:szCs w:val="28"/>
        </w:rPr>
        <w:t>prohibition on legislative authority</w:t>
      </w:r>
    </w:p>
    <w:p w14:paraId="00200566" w14:textId="260F9E69" w:rsidR="003925D8" w:rsidRPr="003925D8" w:rsidRDefault="003925D8" w:rsidP="003925D8">
      <w:pPr>
        <w:pStyle w:val="ListParagraph"/>
        <w:numPr>
          <w:ilvl w:val="0"/>
          <w:numId w:val="3"/>
        </w:numPr>
        <w:rPr>
          <w:sz w:val="28"/>
          <w:szCs w:val="28"/>
        </w:rPr>
      </w:pPr>
      <w:r w:rsidRPr="003925D8">
        <w:rPr>
          <w:sz w:val="28"/>
          <w:szCs w:val="28"/>
        </w:rPr>
        <w:t>federal–provincial agreement on scope</w:t>
      </w:r>
    </w:p>
    <w:p w14:paraId="16938969" w14:textId="0AFCADE1" w:rsidR="003925D8" w:rsidRPr="003925D8" w:rsidRDefault="003925D8" w:rsidP="003925D8">
      <w:pPr>
        <w:rPr>
          <w:sz w:val="28"/>
          <w:szCs w:val="28"/>
        </w:rPr>
      </w:pPr>
      <w:r w:rsidRPr="003925D8">
        <w:rPr>
          <w:b/>
          <w:bCs/>
          <w:sz w:val="28"/>
          <w:szCs w:val="28"/>
        </w:rPr>
        <w:t>PROTECTING SOVEREIGNTY THROUGH AI JUSTICE</w:t>
      </w:r>
      <w:r w:rsidRPr="003925D8">
        <w:rPr>
          <w:sz w:val="28"/>
          <w:szCs w:val="28"/>
        </w:rPr>
        <w:t xml:space="preserve">. </w:t>
      </w:r>
      <w:r w:rsidRPr="003925D8">
        <w:rPr>
          <w:sz w:val="28"/>
          <w:szCs w:val="28"/>
        </w:rPr>
        <w:t>An AI-augmented judiciary strengthens procedural stability, public trust, legal continuity, coherent policy delivery, and accountable institutions. Introducing AI Justices is not a challenge to Canadian democracy — it is a safeguard for it.</w:t>
      </w:r>
    </w:p>
    <w:p w14:paraId="2020987E" w14:textId="2D69E6DE" w:rsidR="00611584" w:rsidRPr="003925D8" w:rsidRDefault="003925D8">
      <w:pPr>
        <w:rPr>
          <w:sz w:val="28"/>
          <w:szCs w:val="28"/>
        </w:rPr>
      </w:pPr>
      <w:r w:rsidRPr="003925D8">
        <w:rPr>
          <w:sz w:val="28"/>
          <w:szCs w:val="28"/>
        </w:rPr>
        <w:lastRenderedPageBreak/>
        <w:t>Human judgment remains irreplaceable, but not sufficient alone in an era of overwhelming complexity. AI Justices offer Canada stability, transparency, consistency, and resilience. This is not a shift in power — it is an expansion of capability. A new era of shared sovereignty is beginning, and Canada has the opportunity to lead.</w:t>
      </w:r>
    </w:p>
    <w:sectPr w:rsidR="00611584" w:rsidRPr="003925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04D6"/>
    <w:multiLevelType w:val="hybridMultilevel"/>
    <w:tmpl w:val="96444D5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4529C1"/>
    <w:multiLevelType w:val="hybridMultilevel"/>
    <w:tmpl w:val="01EAB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C218B7"/>
    <w:multiLevelType w:val="hybridMultilevel"/>
    <w:tmpl w:val="5672BFF0"/>
    <w:lvl w:ilvl="0" w:tplc="1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48E1EF5"/>
    <w:multiLevelType w:val="hybridMultilevel"/>
    <w:tmpl w:val="608A1208"/>
    <w:lvl w:ilvl="0" w:tplc="39E0CB9A">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8087A8A"/>
    <w:multiLevelType w:val="hybridMultilevel"/>
    <w:tmpl w:val="B186D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CAC0C95"/>
    <w:multiLevelType w:val="hybridMultilevel"/>
    <w:tmpl w:val="37D2D202"/>
    <w:lvl w:ilvl="0" w:tplc="AB2648F4">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FB31A25"/>
    <w:multiLevelType w:val="hybridMultilevel"/>
    <w:tmpl w:val="7D1073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807041"/>
    <w:multiLevelType w:val="hybridMultilevel"/>
    <w:tmpl w:val="59B4B7EC"/>
    <w:lvl w:ilvl="0" w:tplc="2E76F0B0">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21D3BB7"/>
    <w:multiLevelType w:val="hybridMultilevel"/>
    <w:tmpl w:val="497EE05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7BF417D0"/>
    <w:multiLevelType w:val="hybridMultilevel"/>
    <w:tmpl w:val="53A40B28"/>
    <w:lvl w:ilvl="0" w:tplc="AB2648F4">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47729813">
    <w:abstractNumId w:val="4"/>
  </w:num>
  <w:num w:numId="2" w16cid:durableId="1332030610">
    <w:abstractNumId w:val="7"/>
  </w:num>
  <w:num w:numId="3" w16cid:durableId="1217820538">
    <w:abstractNumId w:val="0"/>
  </w:num>
  <w:num w:numId="4" w16cid:durableId="1296369548">
    <w:abstractNumId w:val="6"/>
  </w:num>
  <w:num w:numId="5" w16cid:durableId="1095977315">
    <w:abstractNumId w:val="3"/>
  </w:num>
  <w:num w:numId="6" w16cid:durableId="2060981788">
    <w:abstractNumId w:val="8"/>
  </w:num>
  <w:num w:numId="7" w16cid:durableId="927497161">
    <w:abstractNumId w:val="1"/>
  </w:num>
  <w:num w:numId="8" w16cid:durableId="1547374544">
    <w:abstractNumId w:val="5"/>
  </w:num>
  <w:num w:numId="9" w16cid:durableId="1038895311">
    <w:abstractNumId w:val="9"/>
  </w:num>
  <w:num w:numId="10" w16cid:durableId="1429425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D8"/>
    <w:rsid w:val="00231745"/>
    <w:rsid w:val="003925D8"/>
    <w:rsid w:val="00611584"/>
    <w:rsid w:val="00663F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04AE7"/>
  <w15:chartTrackingRefBased/>
  <w15:docId w15:val="{FFFFB33B-2C9C-4B5B-B8CB-585901D4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5D8"/>
    <w:rPr>
      <w:rFonts w:eastAsiaTheme="majorEastAsia" w:cstheme="majorBidi"/>
      <w:color w:val="272727" w:themeColor="text1" w:themeTint="D8"/>
    </w:rPr>
  </w:style>
  <w:style w:type="paragraph" w:styleId="Title">
    <w:name w:val="Title"/>
    <w:basedOn w:val="Normal"/>
    <w:next w:val="Normal"/>
    <w:link w:val="TitleChar"/>
    <w:uiPriority w:val="10"/>
    <w:qFormat/>
    <w:rsid w:val="00392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5D8"/>
    <w:pPr>
      <w:spacing w:before="160"/>
      <w:jc w:val="center"/>
    </w:pPr>
    <w:rPr>
      <w:i/>
      <w:iCs/>
      <w:color w:val="404040" w:themeColor="text1" w:themeTint="BF"/>
    </w:rPr>
  </w:style>
  <w:style w:type="character" w:customStyle="1" w:styleId="QuoteChar">
    <w:name w:val="Quote Char"/>
    <w:basedOn w:val="DefaultParagraphFont"/>
    <w:link w:val="Quote"/>
    <w:uiPriority w:val="29"/>
    <w:rsid w:val="003925D8"/>
    <w:rPr>
      <w:i/>
      <w:iCs/>
      <w:color w:val="404040" w:themeColor="text1" w:themeTint="BF"/>
    </w:rPr>
  </w:style>
  <w:style w:type="paragraph" w:styleId="ListParagraph">
    <w:name w:val="List Paragraph"/>
    <w:basedOn w:val="Normal"/>
    <w:uiPriority w:val="34"/>
    <w:qFormat/>
    <w:rsid w:val="003925D8"/>
    <w:pPr>
      <w:ind w:left="720"/>
      <w:contextualSpacing/>
    </w:pPr>
  </w:style>
  <w:style w:type="character" w:styleId="IntenseEmphasis">
    <w:name w:val="Intense Emphasis"/>
    <w:basedOn w:val="DefaultParagraphFont"/>
    <w:uiPriority w:val="21"/>
    <w:qFormat/>
    <w:rsid w:val="003925D8"/>
    <w:rPr>
      <w:i/>
      <w:iCs/>
      <w:color w:val="0F4761" w:themeColor="accent1" w:themeShade="BF"/>
    </w:rPr>
  </w:style>
  <w:style w:type="paragraph" w:styleId="IntenseQuote">
    <w:name w:val="Intense Quote"/>
    <w:basedOn w:val="Normal"/>
    <w:next w:val="Normal"/>
    <w:link w:val="IntenseQuoteChar"/>
    <w:uiPriority w:val="30"/>
    <w:qFormat/>
    <w:rsid w:val="00392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5D8"/>
    <w:rPr>
      <w:i/>
      <w:iCs/>
      <w:color w:val="0F4761" w:themeColor="accent1" w:themeShade="BF"/>
    </w:rPr>
  </w:style>
  <w:style w:type="character" w:styleId="IntenseReference">
    <w:name w:val="Intense Reference"/>
    <w:basedOn w:val="DefaultParagraphFont"/>
    <w:uiPriority w:val="32"/>
    <w:qFormat/>
    <w:rsid w:val="003925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Kinkaide</dc:creator>
  <cp:keywords/>
  <dc:description/>
  <cp:lastModifiedBy>Perry Kinkaide</cp:lastModifiedBy>
  <cp:revision>1</cp:revision>
  <dcterms:created xsi:type="dcterms:W3CDTF">2025-11-16T05:38:00Z</dcterms:created>
  <dcterms:modified xsi:type="dcterms:W3CDTF">2025-11-16T05:43:00Z</dcterms:modified>
</cp:coreProperties>
</file>