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14"/>
        <w:gridCol w:w="3115"/>
        <w:gridCol w:w="3115"/>
      </w:tblGrid>
      <w:tr w:rsidR="00D23785" w:rsidRPr="00D23785" w14:paraId="7AC8B292" w14:textId="77777777" w:rsidTr="00D23785">
        <w:tc>
          <w:tcPr>
            <w:tcW w:w="5000" w:type="pct"/>
            <w:gridSpan w:val="3"/>
            <w:tcBorders>
              <w:top w:val="outset" w:sz="6" w:space="0" w:color="auto"/>
              <w:left w:val="outset" w:sz="6" w:space="0" w:color="auto"/>
              <w:bottom w:val="outset" w:sz="6" w:space="0" w:color="auto"/>
              <w:right w:val="outset" w:sz="6" w:space="0" w:color="auto"/>
            </w:tcBorders>
          </w:tcPr>
          <w:p w14:paraId="5906F3ED" w14:textId="63CB5A86" w:rsidR="00D23785" w:rsidRPr="00D23785" w:rsidRDefault="00D23785" w:rsidP="00D23785">
            <w:pPr>
              <w:rPr>
                <w:lang w:val="en-CA"/>
              </w:rPr>
            </w:pPr>
            <w:r>
              <w:rPr>
                <w:lang w:val="en-CA"/>
              </w:rPr>
              <w:t xml:space="preserve">ABCtech #28 01Dec14 </w:t>
            </w:r>
            <w:r w:rsidRPr="00D23785">
              <w:rPr>
                <w:lang w:val="en-CA"/>
              </w:rPr>
              <w:t>Berkshire Hathaway Energy has acquired AltaLink</w:t>
            </w:r>
          </w:p>
        </w:tc>
      </w:tr>
      <w:tr w:rsidR="00D23785" w:rsidRPr="00D23785" w14:paraId="5B0B6009" w14:textId="77777777" w:rsidTr="00D23785">
        <w:tc>
          <w:tcPr>
            <w:tcW w:w="1666" w:type="pct"/>
            <w:tcBorders>
              <w:top w:val="outset" w:sz="6" w:space="0" w:color="auto"/>
              <w:left w:val="outset" w:sz="6" w:space="0" w:color="auto"/>
              <w:bottom w:val="outset" w:sz="6" w:space="0" w:color="auto"/>
              <w:right w:val="outset" w:sz="6" w:space="0" w:color="auto"/>
            </w:tcBorders>
            <w:hideMark/>
          </w:tcPr>
          <w:p w14:paraId="56C955AA" w14:textId="77777777" w:rsidR="00D23785" w:rsidRPr="00D23785" w:rsidRDefault="00D23785" w:rsidP="00D23785">
            <w:pPr>
              <w:rPr>
                <w:lang w:val="en-CA"/>
              </w:rPr>
            </w:pPr>
            <w:r w:rsidRPr="00D23785">
              <w:rPr>
                <w:b/>
                <w:bCs/>
                <w:lang w:val="en-CA"/>
              </w:rPr>
              <w:t> </w:t>
            </w:r>
          </w:p>
          <w:p w14:paraId="04E83773" w14:textId="77777777" w:rsidR="00D23785" w:rsidRPr="00D23785" w:rsidRDefault="00D23785" w:rsidP="00D23785">
            <w:pPr>
              <w:rPr>
                <w:lang w:val="en-CA"/>
              </w:rPr>
            </w:pPr>
            <w:r w:rsidRPr="00D23785">
              <w:rPr>
                <w:b/>
                <w:bCs/>
                <w:lang w:val="en-CA"/>
              </w:rPr>
              <w:t>QuikTech Notice</w:t>
            </w:r>
          </w:p>
          <w:p w14:paraId="5BA3DE57" w14:textId="77777777" w:rsidR="00D23785" w:rsidRPr="00D23785" w:rsidRDefault="00D23785" w:rsidP="00D23785">
            <w:pPr>
              <w:rPr>
                <w:lang w:val="en-CA"/>
              </w:rPr>
            </w:pPr>
            <w:r w:rsidRPr="00D23785">
              <w:rPr>
                <w:b/>
                <w:bCs/>
                <w:lang w:val="en-CA"/>
              </w:rPr>
              <w:t>01-DEC-14</w:t>
            </w:r>
          </w:p>
          <w:p w14:paraId="389585D9" w14:textId="77777777" w:rsidR="00D23785" w:rsidRPr="00D23785" w:rsidRDefault="00D23785" w:rsidP="00D23785">
            <w:pPr>
              <w:rPr>
                <w:lang w:val="en-CA"/>
              </w:rPr>
            </w:pPr>
            <w:r w:rsidRPr="00D23785">
              <w:rPr>
                <w:lang w:val="en-CA"/>
              </w:rPr>
              <w:t> </w:t>
            </w:r>
          </w:p>
        </w:tc>
        <w:tc>
          <w:tcPr>
            <w:tcW w:w="1667" w:type="pct"/>
            <w:tcBorders>
              <w:top w:val="outset" w:sz="6" w:space="0" w:color="auto"/>
              <w:left w:val="outset" w:sz="6" w:space="0" w:color="auto"/>
              <w:bottom w:val="outset" w:sz="6" w:space="0" w:color="auto"/>
              <w:right w:val="outset" w:sz="6" w:space="0" w:color="auto"/>
            </w:tcBorders>
            <w:hideMark/>
          </w:tcPr>
          <w:p w14:paraId="5B3CB24B" w14:textId="77777777" w:rsidR="00D23785" w:rsidRPr="00D23785" w:rsidRDefault="00D23785" w:rsidP="00D23785">
            <w:pPr>
              <w:rPr>
                <w:lang w:val="en-CA"/>
              </w:rPr>
            </w:pPr>
            <w:r w:rsidRPr="00D23785">
              <w:rPr>
                <w:lang w:val="en-CA"/>
              </w:rPr>
              <w:t> </w:t>
            </w:r>
          </w:p>
          <w:p w14:paraId="4290C6A1" w14:textId="77777777" w:rsidR="00D23785" w:rsidRPr="00D23785" w:rsidRDefault="00D23785" w:rsidP="00D23785">
            <w:pPr>
              <w:rPr>
                <w:lang w:val="en-CA"/>
              </w:rPr>
            </w:pPr>
            <w:r w:rsidRPr="00D23785">
              <w:rPr>
                <w:lang w:val="en-CA"/>
              </w:rPr>
              <w:t>Berkshire Hathaway Energy has acquired AltaLink</w:t>
            </w:r>
          </w:p>
        </w:tc>
        <w:tc>
          <w:tcPr>
            <w:tcW w:w="1667" w:type="pct"/>
            <w:tcBorders>
              <w:top w:val="outset" w:sz="6" w:space="0" w:color="auto"/>
              <w:left w:val="outset" w:sz="6" w:space="0" w:color="auto"/>
              <w:bottom w:val="outset" w:sz="6" w:space="0" w:color="auto"/>
              <w:right w:val="outset" w:sz="6" w:space="0" w:color="auto"/>
            </w:tcBorders>
            <w:hideMark/>
          </w:tcPr>
          <w:p w14:paraId="4720F118" w14:textId="77777777" w:rsidR="00D23785" w:rsidRPr="00D23785" w:rsidRDefault="00D23785" w:rsidP="00D23785">
            <w:pPr>
              <w:rPr>
                <w:lang w:val="en-CA"/>
              </w:rPr>
            </w:pPr>
            <w:r w:rsidRPr="00D23785">
              <w:rPr>
                <w:lang w:val="en-CA"/>
              </w:rPr>
              <w:t> </w:t>
            </w:r>
          </w:p>
          <w:p w14:paraId="55CE010E" w14:textId="30D5EB3D" w:rsidR="00D23785" w:rsidRPr="00D23785" w:rsidRDefault="00D23785" w:rsidP="00D23785">
            <w:pPr>
              <w:rPr>
                <w:lang w:val="en-CA"/>
              </w:rPr>
            </w:pPr>
            <w:r w:rsidRPr="00D23785">
              <w:rPr>
                <w:lang w:val="en-CA"/>
              </w:rPr>
              <mc:AlternateContent>
                <mc:Choice Requires="wps">
                  <w:drawing>
                    <wp:inline distT="0" distB="0" distL="0" distR="0" wp14:anchorId="6A5EC59D" wp14:editId="03AD77B4">
                      <wp:extent cx="1724025" cy="676275"/>
                      <wp:effectExtent l="0" t="0" r="0" b="0"/>
                      <wp:docPr id="172106228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17F75" id="Rectangle 2"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tc>
      </w:tr>
    </w:tbl>
    <w:p w14:paraId="5E700CF7" w14:textId="77777777" w:rsidR="00D23785" w:rsidRPr="00D23785" w:rsidRDefault="00D23785" w:rsidP="00D23785">
      <w:pPr>
        <w:rPr>
          <w:lang w:val="en-CA"/>
        </w:rPr>
      </w:pPr>
      <w:r w:rsidRPr="00D23785">
        <w:rPr>
          <w:lang w:val="en-CA"/>
        </w:rPr>
        <w:t>We received the following notice today and share with you the associated press release:</w:t>
      </w:r>
    </w:p>
    <w:p w14:paraId="0BAE3574" w14:textId="2EB4D1A1" w:rsidR="00D23785" w:rsidRPr="00D23785" w:rsidRDefault="00D23785" w:rsidP="00D23785">
      <w:pPr>
        <w:rPr>
          <w:lang w:val="en-CA"/>
        </w:rPr>
      </w:pPr>
      <w:r w:rsidRPr="00D23785">
        <w:t>I am pleased to report that Berkshire Hathaway Energy’s acquisition of AltaLink was completed today after receiving the required approval from the Alberta Utilities Commission last Friday (</w:t>
      </w:r>
      <w:hyperlink r:id="rId5" w:history="1">
        <w:r w:rsidRPr="00D23785">
          <w:rPr>
            <w:rStyle w:val="Hyperlink"/>
          </w:rPr>
          <w:t>see HERE the AUC press release</w:t>
        </w:r>
      </w:hyperlink>
      <w:r w:rsidRPr="00D23785">
        <w:t xml:space="preserve">). The acquisition received federal regulatory approvals earlier this year under the Competition Act and the Investment Canada Act. As I mentioned when we met, among the commitments Berkshire Hathaway Energy made under the Investment Canada Act are that AltaLink will remain locally managed, with its headquarters, senior management team and operations located in Alberta, and that all of AltaLink’s earnings will be reinvested back into AltaLink, elsewhere in Alberta, or other regions of Canada. </w:t>
      </w:r>
    </w:p>
    <w:p w14:paraId="35454ED3" w14:textId="77777777" w:rsidR="00D23785" w:rsidRPr="00D23785" w:rsidRDefault="00D23785" w:rsidP="00D23785">
      <w:pPr>
        <w:rPr>
          <w:lang w:val="en-CA"/>
        </w:rPr>
      </w:pPr>
      <w:r w:rsidRPr="00D23785">
        <w:t>We are delighted that AltaLink is joining the Berkshire Hathaway Energy family and that we are now playing a role in supporting Alberta’s strong economic development. Thank you again for taking the time to meet with me earlier this year to discuss this acquisition.</w:t>
      </w:r>
    </w:p>
    <w:p w14:paraId="3EEDCA85" w14:textId="77777777" w:rsidR="00D23785" w:rsidRPr="00D23785" w:rsidRDefault="00D23785" w:rsidP="00D23785">
      <w:pPr>
        <w:rPr>
          <w:lang w:val="en-CA"/>
        </w:rPr>
      </w:pPr>
      <w:r w:rsidRPr="00D23785">
        <w:rPr>
          <w:b/>
          <w:bCs/>
        </w:rPr>
        <w:t>Jonathan M. Weisgall</w:t>
      </w:r>
    </w:p>
    <w:p w14:paraId="437F304D" w14:textId="77777777" w:rsidR="00D23785" w:rsidRPr="00D23785" w:rsidRDefault="00D23785" w:rsidP="00D23785">
      <w:pPr>
        <w:rPr>
          <w:i/>
          <w:iCs/>
          <w:lang w:val="en-CA"/>
        </w:rPr>
      </w:pPr>
      <w:r w:rsidRPr="00D23785">
        <w:rPr>
          <w:b/>
          <w:bCs/>
          <w:i/>
          <w:iCs/>
        </w:rPr>
        <w:t> </w:t>
      </w:r>
      <w:r w:rsidRPr="00D23785">
        <w:rPr>
          <w:i/>
          <w:iCs/>
        </w:rPr>
        <w:t>Vice President, Legislative and Regulatory Affairs</w:t>
      </w:r>
    </w:p>
    <w:p w14:paraId="016CC79A" w14:textId="77777777" w:rsidR="00D23785" w:rsidRPr="00D23785" w:rsidRDefault="00D23785" w:rsidP="00D23785">
      <w:pPr>
        <w:rPr>
          <w:i/>
          <w:iCs/>
          <w:lang w:val="en-CA"/>
        </w:rPr>
      </w:pPr>
      <w:r w:rsidRPr="00D23785">
        <w:rPr>
          <w:i/>
          <w:iCs/>
        </w:rPr>
        <w:t>Berkshire Hathaway Energy</w:t>
      </w:r>
    </w:p>
    <w:p w14:paraId="45321951" w14:textId="77777777" w:rsidR="00D23785" w:rsidRPr="00D23785" w:rsidRDefault="00D23785" w:rsidP="00D23785">
      <w:pPr>
        <w:rPr>
          <w:i/>
          <w:iCs/>
          <w:lang w:val="en-CA"/>
        </w:rPr>
      </w:pPr>
      <w:r w:rsidRPr="00D23785">
        <w:rPr>
          <w:i/>
          <w:iCs/>
        </w:rPr>
        <w:t>1800 M St., N.W., Suite 330N</w:t>
      </w:r>
    </w:p>
    <w:p w14:paraId="2E01FF03" w14:textId="77777777" w:rsidR="00D23785" w:rsidRPr="00D23785" w:rsidRDefault="00D23785" w:rsidP="00D23785">
      <w:pPr>
        <w:rPr>
          <w:i/>
          <w:iCs/>
          <w:lang w:val="en-CA"/>
        </w:rPr>
      </w:pPr>
      <w:r w:rsidRPr="00D23785">
        <w:rPr>
          <w:i/>
          <w:iCs/>
        </w:rPr>
        <w:t>Washington, DC 20036</w:t>
      </w:r>
    </w:p>
    <w:p w14:paraId="1DA0D914" w14:textId="77777777" w:rsidR="00D23785" w:rsidRPr="00D23785" w:rsidRDefault="00D23785" w:rsidP="00D23785">
      <w:pPr>
        <w:rPr>
          <w:i/>
          <w:iCs/>
          <w:lang w:val="en-CA"/>
        </w:rPr>
      </w:pPr>
      <w:r w:rsidRPr="00D23785">
        <w:rPr>
          <w:i/>
          <w:iCs/>
          <w:lang w:val="en-CA"/>
        </w:rPr>
        <w:pict w14:anchorId="50D00129">
          <v:rect id="_x0000_i1037" style="width:0;height:1.5pt" o:hralign="center" o:hrstd="t" o:hr="t" fillcolor="#a0a0a0" stroked="f"/>
        </w:pict>
      </w:r>
    </w:p>
    <w:p w14:paraId="3EB49694" w14:textId="77777777" w:rsidR="00D23785" w:rsidRPr="00D23785" w:rsidRDefault="00D23785" w:rsidP="00D23785">
      <w:pPr>
        <w:rPr>
          <w:lang w:val="en-CA"/>
        </w:rPr>
      </w:pPr>
      <w:r w:rsidRPr="00D23785">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54685"/>
    <w:rsid w:val="006A3493"/>
    <w:rsid w:val="007B28AB"/>
    <w:rsid w:val="007C23F0"/>
    <w:rsid w:val="00835EBB"/>
    <w:rsid w:val="0088332D"/>
    <w:rsid w:val="0096464B"/>
    <w:rsid w:val="009926E7"/>
    <w:rsid w:val="00996698"/>
    <w:rsid w:val="009E579B"/>
    <w:rsid w:val="00A33F52"/>
    <w:rsid w:val="00A44AC0"/>
    <w:rsid w:val="00BD3421"/>
    <w:rsid w:val="00BE020D"/>
    <w:rsid w:val="00D23785"/>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ploads/files/Energy_and_Distribution/AUC%20news%20release%2011.28.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2025-12-30T02:25:00Z</dcterms:created>
  <dcterms:modified xsi:type="dcterms:W3CDTF">2025-12-30T02:25:00Z</dcterms:modified>
</cp:coreProperties>
</file>